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before="240" w:line="259" w:lineRule="auto"/>
        <w:rPr>
          <w:color w:val="000000"/>
        </w:rPr>
      </w:pPr>
      <w:r w:rsidDel="00000000" w:rsidR="00000000" w:rsidRPr="00000000">
        <w:rPr>
          <w:color w:val="000000"/>
          <w:sz w:val="22"/>
          <w:szCs w:val="22"/>
          <w:rtl w:val="0"/>
        </w:rPr>
        <w:t xml:space="preserve">RONPA0281ZPB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Blocurile de calcar de la Bădila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rtl w:val="0"/>
                    </w:rPr>
                    <w:t xml:space="preserve">0</w:t>
                  </w:r>
                </w:p>
              </w:tc>
              <w:tc>
                <w:tcPr/>
                <w:p w:rsidR="00000000" w:rsidDel="00000000" w:rsidP="00000000" w:rsidRDefault="00000000" w:rsidRPr="00000000" w14:paraId="00000015">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2,96</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Buzău</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2,96</w:t>
      </w:r>
      <w:r w:rsidDel="00000000" w:rsidR="00000000" w:rsidRPr="00000000">
        <w:rPr>
          <w:rtl w:val="0"/>
        </w:rPr>
      </w:r>
    </w:p>
    <w:p w:rsidR="00000000" w:rsidDel="00000000" w:rsidP="00000000" w:rsidRDefault="00000000" w:rsidRPr="00000000" w14:paraId="0000006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monument al naturii RONPA0281 Blocurile de calcar de la Badila;</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80.0" w:type="dxa"/>
        <w:jc w:val="left"/>
        <w:tblInd w:w="-6.0" w:type="dxa"/>
        <w:tblLayout w:type="fixed"/>
        <w:tblLook w:val="0000"/>
      </w:tblPr>
      <w:tblGrid>
        <w:gridCol w:w="4422"/>
        <w:gridCol w:w="4558"/>
        <w:tblGridChange w:id="0">
          <w:tblGrid>
            <w:gridCol w:w="4422"/>
            <w:gridCol w:w="455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2">
            <w:pPr>
              <w:spacing w:after="0" w:lineRule="auto"/>
              <w:rPr>
                <w:i w:val="1"/>
                <w:iCs w:val="1"/>
              </w:rPr>
            </w:pPr>
            <w:r w:rsidDel="00000000" w:rsidR="00000000" w:rsidRPr="00000000">
              <w:rPr>
                <w:sz w:val="22"/>
                <w:szCs w:val="22"/>
                <w:rtl w:val="0"/>
              </w:rPr>
              <w:t xml:space="preserve">3240 Vegetaţie lemnoasă cu </w:t>
            </w:r>
            <w:r w:rsidDel="00000000" w:rsidR="00000000" w:rsidRPr="00000000">
              <w:rPr>
                <w:i w:val="1"/>
                <w:iCs w:val="1"/>
                <w:sz w:val="22"/>
                <w:szCs w:val="22"/>
                <w:rtl w:val="0"/>
              </w:rPr>
              <w:t xml:space="preserve">Salix elaeagnos</w:t>
            </w:r>
            <w:r w:rsidDel="00000000" w:rsidR="00000000" w:rsidRPr="00000000">
              <w:rPr>
                <w:sz w:val="22"/>
                <w:szCs w:val="22"/>
                <w:rtl w:val="0"/>
              </w:rPr>
              <w:t xml:space="preserve"> de-a lungul cursurilor de apă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80">
            <w:pPr>
              <w:spacing w:after="0" w:lineRule="auto"/>
              <w:rPr>
                <w:i w:val="1"/>
                <w:iCs w:val="1"/>
              </w:rPr>
            </w:pPr>
            <w:r w:rsidDel="00000000" w:rsidR="00000000" w:rsidRPr="00000000">
              <w:rPr>
                <w:i w:val="1"/>
                <w:iCs w:val="1"/>
                <w:sz w:val="22"/>
                <w:szCs w:val="22"/>
                <w:rtl w:val="0"/>
              </w:rPr>
              <w:t xml:space="preserve">1332 Vespertilio murinus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Zonă prioritară pentru biodiversitate cu monument al naturii, care cuprinde habitat de ape curgătoare, precum și specii de amfibieni, reptile și chiroptere de interes comunitar.</w:t>
            </w:r>
          </w:p>
          <w:p w:rsidR="00000000" w:rsidDel="00000000" w:rsidP="00000000" w:rsidRDefault="00000000" w:rsidRPr="00000000" w14:paraId="00000083">
            <w:pPr>
              <w:spacing w:after="0" w:lineRule="auto"/>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ecologică datorată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88">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2. Restaurarea dinamicii naturale a cursurilor</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de apă (variabilitate debite, mobilitate albie).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3. Refacerea zonelor umede deconectate și a</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habitatelor asociate.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93">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1. Barierele transversale (praguri, baraje fără</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funcție) se elimină sau se echipează cu treceri pentru pești, pentru refacerea conectivității longitudinale.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pBdr>
        <w:spacing w:after="0" w:line="259" w:lineRule="auto"/>
        <w:jc w:val="both"/>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 publice realizate: 21 mai 2025 – Buzău.</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w:t>
      </w:r>
      <w:r w:rsidDel="00000000" w:rsidR="00000000" w:rsidRPr="00000000">
        <w:rPr>
          <w:b w:val="1"/>
          <w:bCs w:val="1"/>
          <w:sz w:val="22"/>
          <w:szCs w:val="22"/>
          <w:rtl w:val="0"/>
        </w:rPr>
        <w:t xml:space="preserve">19 decembrie 2025 </w:t>
      </w:r>
      <w:r w:rsidDel="00000000" w:rsidR="00000000" w:rsidRPr="00000000">
        <w:rPr>
          <w:sz w:val="22"/>
          <w:szCs w:val="22"/>
          <w:rtl w:val="0"/>
        </w:rPr>
        <w:t xml:space="preserve">cu participarea factorilor interesați relevanți din județul Buzău.</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wRyxTWqC6xr+YSpF6ZOBmIm42g==">CgMxLjA4AHIhMWdzdDI5aXJEUG5qdV9XaHFoek9QTy15NjR3VHV6Y3Fw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